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Konfío recibe financiamiento de Gramercy</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financiamiento ayudará a que más de 1,000 empresas pequeñas y medianas (“PyMEs”) tengan acceso a créditos ágiles y herramientas que impulsen su crecimiento y productividad.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w:t>
      </w:r>
      <w:r w:rsidDel="00000000" w:rsidR="00000000" w:rsidRPr="00000000">
        <w:rPr>
          <w:rFonts w:ascii="Montserrat" w:cs="Montserrat" w:eastAsia="Montserrat" w:hAnsi="Montserrat"/>
          <w:b w:val="1"/>
          <w:highlight w:val="white"/>
          <w:rtl w:val="0"/>
        </w:rPr>
        <w:t xml:space="preserve">27</w:t>
      </w:r>
      <w:r w:rsidDel="00000000" w:rsidR="00000000" w:rsidRPr="00000000">
        <w:rPr>
          <w:rFonts w:ascii="Montserrat" w:cs="Montserrat" w:eastAsia="Montserrat" w:hAnsi="Montserrat"/>
          <w:b w:val="1"/>
          <w:rtl w:val="0"/>
        </w:rPr>
        <w:t xml:space="preserve"> de julio de 2021—</w:t>
      </w:r>
      <w:r w:rsidDel="00000000" w:rsidR="00000000" w:rsidRPr="00000000">
        <w:rPr>
          <w:rFonts w:ascii="Montserrat" w:cs="Montserrat" w:eastAsia="Montserrat" w:hAnsi="Montserrat"/>
          <w:rtl w:val="0"/>
        </w:rPr>
        <w:t xml:space="preserve"> Konfío, empresa de tecnología con la misión de impulsar el crecimiento y la productividad de las PyMEs en México, anuncia la incorporación de Gramercy Funds Management (“Gramercy”), un fondo de inversión enfocado en mercados emergentes, como inversionista adicional en la línea de crédito estructurado que la empresa mantiene con Goldman Sachs. La incorporación de Gramercy, con $18 millones de dólares, </w:t>
      </w:r>
      <w:r w:rsidDel="00000000" w:rsidR="00000000" w:rsidRPr="00000000">
        <w:rPr>
          <w:rFonts w:ascii="Montserrat" w:cs="Montserrat" w:eastAsia="Montserrat" w:hAnsi="Montserrat"/>
          <w:rtl w:val="0"/>
        </w:rPr>
        <w:t xml:space="preserve">permitirá incrementar el monto total de esta línea hasta $178 millones de dólares.</w:t>
      </w:r>
      <w:r w:rsidDel="00000000" w:rsidR="00000000" w:rsidRPr="00000000">
        <w:rPr>
          <w:rFonts w:ascii="Montserrat" w:cs="Montserrat" w:eastAsia="Montserrat" w:hAnsi="Montserrat"/>
          <w:rtl w:val="0"/>
        </w:rPr>
        <w:t xml:space="preserve"> Gramercy eligió a Konfío como su primera inversión en una empresa de tecnología financiera (“Fintech”) en México, lo cual expande las fuentes de fondeo de Konfío para apoyar a las PyMEs del país.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operación refuerza la posición de Gramercy como un proveedor de capital líder para el sector financiero no bancario en América Latina, </w:t>
      </w:r>
      <w:r w:rsidDel="00000000" w:rsidR="00000000" w:rsidRPr="00000000">
        <w:rPr>
          <w:rFonts w:ascii="Montserrat" w:cs="Montserrat" w:eastAsia="Montserrat" w:hAnsi="Montserrat"/>
          <w:rtl w:val="0"/>
        </w:rPr>
        <w:t xml:space="preserve">y uno de los principales proveedores de crédito privado en México, con más de $450 millones de dólares comprometidos</w:t>
      </w:r>
      <w:r w:rsidDel="00000000" w:rsidR="00000000" w:rsidRPr="00000000">
        <w:rPr>
          <w:rFonts w:ascii="Montserrat" w:cs="Montserrat" w:eastAsia="Montserrat" w:hAnsi="Montserrat"/>
          <w:rtl w:val="0"/>
        </w:rPr>
        <w:t xml:space="preserve"> en los últimos tres años en el país.</w:t>
      </w:r>
    </w:p>
    <w:p w:rsidR="00000000" w:rsidDel="00000000" w:rsidP="00000000" w:rsidRDefault="00000000" w:rsidRPr="00000000" w14:paraId="00000009">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Nos complace apoyar a Konfío en su consolidación como una de las empresas Fintech líderes en México y un disruptor en el ecosistema de servicios financieros. La misión de Konfío de impulsar la inclusión financiera de las PyMEs está alineada con el compromiso de Gramercy de impactar positivamente a compañías desatendidas en México y nuestra consideración de factores ambientales, sociales y de gobierno corporativo en nuestras inversiones</w:t>
      </w:r>
      <w:r w:rsidDel="00000000" w:rsidR="00000000" w:rsidRPr="00000000">
        <w:rPr>
          <w:rFonts w:ascii="Montserrat" w:cs="Montserrat" w:eastAsia="Montserrat" w:hAnsi="Montserrat"/>
          <w:rtl w:val="0"/>
        </w:rPr>
        <w:t xml:space="preserve">" afirmó Gustavo Ferraro, Socio y Co-Líder de la estrategia de crédito privado de Gramercy.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Jeffrey Sadowsky, VP de Tesorería y Mercado de Capitales de Konfío aseguró que “</w:t>
      </w:r>
      <w:r w:rsidDel="00000000" w:rsidR="00000000" w:rsidRPr="00000000">
        <w:rPr>
          <w:rFonts w:ascii="Montserrat" w:cs="Montserrat" w:eastAsia="Montserrat" w:hAnsi="Montserrat"/>
          <w:i w:val="1"/>
          <w:rtl w:val="0"/>
        </w:rPr>
        <w:t xml:space="preserve">Estamos contentos </w:t>
      </w:r>
      <w:r w:rsidDel="00000000" w:rsidR="00000000" w:rsidRPr="00000000">
        <w:rPr>
          <w:rFonts w:ascii="Montserrat" w:cs="Montserrat" w:eastAsia="Montserrat" w:hAnsi="Montserrat"/>
          <w:i w:val="1"/>
          <w:highlight w:val="white"/>
          <w:rtl w:val="0"/>
        </w:rPr>
        <w:t xml:space="preserve">de tener a un inversionista como Gramercy en nuestra estructura de financiamiento, y aprovechar la experiencia del fondo en mercados emergentes. La extensión de esta línea </w:t>
      </w:r>
      <w:r w:rsidDel="00000000" w:rsidR="00000000" w:rsidRPr="00000000">
        <w:rPr>
          <w:rFonts w:ascii="Montserrat" w:cs="Montserrat" w:eastAsia="Montserrat" w:hAnsi="Montserrat"/>
          <w:i w:val="1"/>
          <w:rtl w:val="0"/>
        </w:rPr>
        <w:t xml:space="preserve">nos ayudará a seguir impulsando a las compañías en crecimiento de México, y robustecer las soluciones tecnológicas que continuarán beneficiando a nuestros clientes </w:t>
      </w:r>
      <w:r w:rsidDel="00000000" w:rsidR="00000000" w:rsidRPr="00000000">
        <w:rPr>
          <w:rFonts w:ascii="Montserrat" w:cs="Montserrat" w:eastAsia="Montserrat" w:hAnsi="Montserrat"/>
          <w:i w:val="1"/>
          <w:rtl w:val="0"/>
        </w:rPr>
        <w:t xml:space="preserve">a gestionar</w:t>
      </w:r>
      <w:r w:rsidDel="00000000" w:rsidR="00000000" w:rsidRPr="00000000">
        <w:rPr>
          <w:rFonts w:ascii="Montserrat" w:cs="Montserrat" w:eastAsia="Montserrat" w:hAnsi="Montserrat"/>
          <w:i w:val="1"/>
          <w:rtl w:val="0"/>
        </w:rPr>
        <w:t xml:space="preserve"> sus negocios de manera más sencilla y ágil</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nuevo apoyo crediticio a Konfío se suma a la inyección reciente de capital encabezada por </w:t>
      </w:r>
      <w:r w:rsidDel="00000000" w:rsidR="00000000" w:rsidRPr="00000000">
        <w:rPr>
          <w:rFonts w:ascii="Montserrat" w:cs="Montserrat" w:eastAsia="Montserrat" w:hAnsi="Montserrat"/>
          <w:rtl w:val="0"/>
        </w:rPr>
        <w:t xml:space="preserve">Lightrock</w:t>
      </w:r>
      <w:r w:rsidDel="00000000" w:rsidR="00000000" w:rsidRPr="00000000">
        <w:rPr>
          <w:rFonts w:ascii="Montserrat" w:cs="Montserrat" w:eastAsia="Montserrat" w:hAnsi="Montserrat"/>
          <w:rtl w:val="0"/>
        </w:rPr>
        <w:t xml:space="preserve"> por un monto de $125 millones de dólares, y es un paso más en el posicionamiento de Konfío como una empresa sólida de soluciones para impulsar el crecimiento y la productividad y de las empresas en México.</w:t>
      </w:r>
    </w:p>
    <w:p w:rsidR="00000000" w:rsidDel="00000000" w:rsidP="00000000" w:rsidRDefault="00000000" w:rsidRPr="00000000" w14:paraId="0000000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Sobre Konfío</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Konfio es </w:t>
      </w:r>
      <w:r w:rsidDel="00000000" w:rsidR="00000000" w:rsidRPr="00000000">
        <w:rPr>
          <w:rFonts w:ascii="Montserrat" w:cs="Montserrat" w:eastAsia="Montserrat" w:hAnsi="Montserrat"/>
          <w:sz w:val="20"/>
          <w:szCs w:val="20"/>
          <w:rtl w:val="0"/>
        </w:rPr>
        <w:t xml:space="preserve">la compañía</w:t>
      </w:r>
      <w:r w:rsidDel="00000000" w:rsidR="00000000" w:rsidRPr="00000000">
        <w:rPr>
          <w:rFonts w:ascii="Montserrat" w:cs="Montserrat" w:eastAsia="Montserrat" w:hAnsi="Montserrat"/>
          <w:sz w:val="20"/>
          <w:szCs w:val="20"/>
          <w:rtl w:val="0"/>
        </w:rPr>
        <w:t xml:space="preserve"> de tecnología líder enfocada en impulsar el crecimiento y productividad de las empresas en México, con una oferta de soluciones orientada desde tres pilares estratégicos: crédito, pagos y herramientas de gestión de negocios. Fundada en 2013, Konfío ofrece acceso a crédito ágil con un proceso de decisión inmediato basado en datos e inteligencia artificial, una plataforma de manejo y financiamiento de pagos entre empresas, y un sistema en la nube para gestión operativa, contable y financiera del negocio disponible tanto para empresas como para contadores que prestan servicios a empresas.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Sobre Gramercy </w:t>
      </w:r>
    </w:p>
    <w:p w:rsidR="00000000" w:rsidDel="00000000" w:rsidP="00000000" w:rsidRDefault="00000000" w:rsidRPr="00000000" w14:paraId="00000014">
      <w:pPr>
        <w:jc w:val="both"/>
        <w:rPr>
          <w:rFonts w:ascii="Montserrat" w:cs="Montserrat" w:eastAsia="Montserrat" w:hAnsi="Montserrat"/>
          <w:color w:val="0563c1"/>
          <w:sz w:val="20"/>
          <w:szCs w:val="20"/>
          <w:u w:val="single"/>
        </w:rPr>
      </w:pPr>
      <w:r w:rsidDel="00000000" w:rsidR="00000000" w:rsidRPr="00000000">
        <w:rPr>
          <w:rFonts w:ascii="Montserrat" w:cs="Montserrat" w:eastAsia="Montserrat" w:hAnsi="Montserrat"/>
          <w:sz w:val="20"/>
          <w:szCs w:val="20"/>
          <w:rtl w:val="0"/>
        </w:rPr>
        <w:t xml:space="preserve">Gramercy es un administrador de inversiones enfocado en mercados emergentes con sede en Greenwich, Connecticut, oficinas en Londres, Ciudad de México y Buenos Aires, y plataformas de financiamiento en México, Turquía, Perú, Reino Unido / África, Brasil y Colombia. La firma de $5,000 millones de dólares, fundada en 1998, busca brindar a sus inversionistas retornos ajustados al riesgo a través de un enfoque integral hacia los mercados emergentes, soportada en una plataforma institucional robusta y transparente. Gramercy ofrece estrategias alternativas y de largo plazo a través de diferentes tipos de activos en mercados emergentes, incluyendo multi-activos, crédito privado, mercados de deuda y situaciones especiales. Gramercy es un Asesor de Inversiones Registrado con la SEC de E.E.U.U. y un adherente a los Principios para la Inversión Responsable de las Naciones Unidas. Gramercy Ltd, una compañía afiliada, está registrada con la FCA del Reino Unido. Para más información por favor visite </w:t>
      </w:r>
      <w:hyperlink r:id="rId7">
        <w:r w:rsidDel="00000000" w:rsidR="00000000" w:rsidRPr="00000000">
          <w:rPr>
            <w:rFonts w:ascii="Montserrat" w:cs="Montserrat" w:eastAsia="Montserrat" w:hAnsi="Montserrat"/>
            <w:color w:val="0563c1"/>
            <w:sz w:val="20"/>
            <w:szCs w:val="20"/>
            <w:u w:val="single"/>
            <w:rtl w:val="0"/>
          </w:rPr>
          <w:t xml:space="preserve">www.gramercy.com</w:t>
        </w:r>
      </w:hyperlink>
      <w:r w:rsidDel="00000000" w:rsidR="00000000" w:rsidRPr="00000000">
        <w:rPr>
          <w:rFonts w:ascii="Montserrat" w:cs="Montserrat" w:eastAsia="Montserrat" w:hAnsi="Montserrat"/>
          <w:color w:val="0563c1"/>
          <w:sz w:val="20"/>
          <w:szCs w:val="20"/>
          <w:u w:val="single"/>
          <w:rtl w:val="0"/>
        </w:rPr>
        <w:t xml:space="preserve">.</w:t>
      </w:r>
    </w:p>
    <w:p w:rsidR="00000000" w:rsidDel="00000000" w:rsidP="00000000" w:rsidRDefault="00000000" w:rsidRPr="00000000" w14:paraId="00000015">
      <w:pPr>
        <w:jc w:val="both"/>
        <w:rPr>
          <w:rFonts w:ascii="Montserrat" w:cs="Montserrat" w:eastAsia="Montserrat" w:hAnsi="Montserrat"/>
          <w:color w:val="0563c1"/>
          <w:sz w:val="20"/>
          <w:szCs w:val="20"/>
          <w:u w:val="singl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color w:val="0563c1"/>
          <w:sz w:val="20"/>
          <w:szCs w:val="20"/>
          <w:u w:val="single"/>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sectPr>
      <w:headerReference r:id="rId8" w:type="default"/>
      <w:headerReference r:id="rId9" w:type="even"/>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76" w:lineRule="auto"/>
      <w:jc w:val="right"/>
      <w:rPr/>
    </w:pPr>
    <w:r w:rsidDel="00000000" w:rsidR="00000000" w:rsidRPr="00000000">
      <w:rPr>
        <w:rFonts w:ascii="Open Sans" w:cs="Open Sans" w:eastAsia="Open Sans" w:hAnsi="Open Sans"/>
      </w:rPr>
      <w:drawing>
        <wp:inline distB="114300" distT="114300" distL="114300" distR="114300">
          <wp:extent cx="1646360" cy="509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6360" cy="5095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D9795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7959"/>
    <w:rPr>
      <w:rFonts w:ascii="Segoe UI" w:cs="Segoe UI" w:hAnsi="Segoe UI"/>
      <w:sz w:val="18"/>
      <w:szCs w:val="18"/>
    </w:rPr>
  </w:style>
  <w:style w:type="character" w:styleId="Hyperlink">
    <w:name w:val="Hyperlink"/>
    <w:basedOn w:val="DefaultParagraphFont"/>
    <w:uiPriority w:val="99"/>
    <w:semiHidden w:val="1"/>
    <w:unhideWhenUsed w:val="1"/>
    <w:rsid w:val="002D50B2"/>
    <w:rPr>
      <w:color w:val="0563c1"/>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amercy.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Q8gdIzLdKhszD9xmgN/rgLQFA==">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2021-07-23T14:58:00Z</dcterms:created>
  <dc:creator>Felipe Alonso</dc:creator>
</cp:coreProperties>
</file>